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789B" w14:textId="77777777" w:rsidR="002B7426" w:rsidRPr="002B7426" w:rsidRDefault="002B7426" w:rsidP="002B7426">
      <w:pPr>
        <w:jc w:val="right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Приложение № 5 </w:t>
      </w:r>
    </w:p>
    <w:p w14:paraId="503FB61D" w14:textId="77777777" w:rsidR="002B7426" w:rsidRPr="002B7426" w:rsidRDefault="002B7426" w:rsidP="002B7426">
      <w:pPr>
        <w:tabs>
          <w:tab w:val="left" w:pos="1134"/>
        </w:tabs>
        <w:ind w:left="4320" w:firstLine="0"/>
        <w:jc w:val="right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 </w:t>
      </w:r>
      <w:r w:rsidRPr="002B7426">
        <w:rPr>
          <w:color w:val="000000" w:themeColor="text1"/>
          <w:sz w:val="24"/>
          <w:szCs w:val="24"/>
          <w:shd w:val="clear" w:color="auto" w:fill="FFFFFF"/>
        </w:rPr>
        <w:t xml:space="preserve">к Положению об управлении батареями и аккумуляторами </w:t>
      </w:r>
      <w:r w:rsidRPr="002B7426">
        <w:rPr>
          <w:color w:val="000000" w:themeColor="text1"/>
          <w:sz w:val="24"/>
          <w:szCs w:val="24"/>
          <w:shd w:val="clear" w:color="auto" w:fill="FFFFFF"/>
        </w:rPr>
        <w:br/>
        <w:t xml:space="preserve">и </w:t>
      </w:r>
      <w:r w:rsidRPr="002B7426">
        <w:rPr>
          <w:color w:val="000000" w:themeColor="text1"/>
          <w:sz w:val="24"/>
          <w:szCs w:val="24"/>
        </w:rPr>
        <w:t>отходами батарей и аккумуляторов</w:t>
      </w:r>
    </w:p>
    <w:p w14:paraId="373A4E47" w14:textId="77777777" w:rsidR="002B7426" w:rsidRPr="002B7426" w:rsidRDefault="002B7426" w:rsidP="002B7426">
      <w:pPr>
        <w:ind w:left="2880"/>
        <w:jc w:val="right"/>
        <w:rPr>
          <w:color w:val="000000" w:themeColor="text1"/>
          <w:sz w:val="24"/>
          <w:szCs w:val="24"/>
        </w:rPr>
      </w:pPr>
    </w:p>
    <w:p w14:paraId="52D9C82B" w14:textId="77777777" w:rsidR="002B7426" w:rsidRPr="002B7426" w:rsidRDefault="002B7426" w:rsidP="002B7426">
      <w:pPr>
        <w:ind w:right="-394"/>
        <w:jc w:val="center"/>
        <w:rPr>
          <w:color w:val="000000" w:themeColor="text1"/>
          <w:sz w:val="24"/>
          <w:szCs w:val="24"/>
        </w:rPr>
      </w:pPr>
    </w:p>
    <w:p w14:paraId="07E0F350" w14:textId="77777777" w:rsidR="002B7426" w:rsidRPr="002B7426" w:rsidRDefault="002B7426" w:rsidP="002B7426">
      <w:pPr>
        <w:jc w:val="center"/>
        <w:rPr>
          <w:b/>
          <w:bCs/>
          <w:color w:val="000000" w:themeColor="text1"/>
          <w:sz w:val="24"/>
          <w:szCs w:val="24"/>
        </w:rPr>
      </w:pPr>
      <w:r w:rsidRPr="002B7426">
        <w:rPr>
          <w:b/>
          <w:color w:val="000000" w:themeColor="text1"/>
          <w:sz w:val="24"/>
          <w:szCs w:val="24"/>
        </w:rPr>
        <w:t xml:space="preserve">ПОРЯДОК ПРОВЕРКИ  </w:t>
      </w:r>
    </w:p>
    <w:p w14:paraId="5BE307CC" w14:textId="77777777" w:rsidR="002B7426" w:rsidRPr="002B7426" w:rsidRDefault="002B7426" w:rsidP="002B7426">
      <w:pPr>
        <w:jc w:val="center"/>
        <w:rPr>
          <w:b/>
          <w:bCs/>
          <w:color w:val="000000" w:themeColor="text1"/>
          <w:sz w:val="24"/>
          <w:szCs w:val="24"/>
        </w:rPr>
      </w:pPr>
      <w:r w:rsidRPr="002B7426">
        <w:rPr>
          <w:b/>
          <w:color w:val="000000" w:themeColor="text1"/>
          <w:sz w:val="24"/>
          <w:szCs w:val="24"/>
        </w:rPr>
        <w:t>пояснительного и финансового отчетов о достижении целей</w:t>
      </w:r>
    </w:p>
    <w:p w14:paraId="2FAEFEBE" w14:textId="77777777" w:rsidR="002B7426" w:rsidRPr="002B7426" w:rsidRDefault="002B7426" w:rsidP="002B7426">
      <w:pPr>
        <w:jc w:val="center"/>
        <w:rPr>
          <w:b/>
          <w:bCs/>
          <w:color w:val="000000" w:themeColor="text1"/>
          <w:sz w:val="24"/>
          <w:szCs w:val="24"/>
        </w:rPr>
      </w:pPr>
    </w:p>
    <w:p w14:paraId="676F8C7F" w14:textId="77777777" w:rsidR="002B7426" w:rsidRPr="002B7426" w:rsidRDefault="002B7426" w:rsidP="002B7426">
      <w:pPr>
        <w:spacing w:line="240" w:lineRule="atLeast"/>
        <w:ind w:right="-1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В пояснительном и финансовом отчетах содержится информация о реализации расширенной ответственности производителя логистического и финансового характера, установленной настоящим Положением и Законом № 209/2016 об отходах.</w:t>
      </w:r>
    </w:p>
    <w:p w14:paraId="3D6DDD4C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Проверка пояснительного и финансового отчетов о достижении целей включает, но не ограничивается следующими аспектами:   </w:t>
      </w:r>
    </w:p>
    <w:p w14:paraId="3ACF7B6F" w14:textId="77777777" w:rsidR="002B7426" w:rsidRPr="002B7426" w:rsidRDefault="002B7426" w:rsidP="002B7426">
      <w:pPr>
        <w:pStyle w:val="a7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 xml:space="preserve">1) выполнение обязанностей, описанные в главах </w:t>
      </w:r>
      <w:proofErr w:type="gramStart"/>
      <w:r w:rsidRPr="002B7426">
        <w:rPr>
          <w:rFonts w:cs="Times New Roman"/>
          <w:color w:val="000000" w:themeColor="text1"/>
          <w:szCs w:val="24"/>
        </w:rPr>
        <w:t>III-VII</w:t>
      </w:r>
      <w:proofErr w:type="gramEnd"/>
      <w:r w:rsidRPr="002B7426">
        <w:rPr>
          <w:rFonts w:cs="Times New Roman"/>
          <w:color w:val="000000" w:themeColor="text1"/>
          <w:szCs w:val="24"/>
        </w:rPr>
        <w:t xml:space="preserve"> Положения;    </w:t>
      </w:r>
    </w:p>
    <w:p w14:paraId="44BF2E76" w14:textId="77777777" w:rsidR="002B7426" w:rsidRPr="002B7426" w:rsidRDefault="002B7426" w:rsidP="002B7426">
      <w:pPr>
        <w:ind w:firstLine="720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2) соблюдение требований к организации коллективной системы, обновление списка производителей, присоединившихся к коллективной системе, на официальном веб-сайте, создание контролирующего органа (цензора), представление аудиторского отчета, в соответствующих случаях; </w:t>
      </w:r>
    </w:p>
    <w:p w14:paraId="7566363D" w14:textId="77777777" w:rsidR="002B7426" w:rsidRPr="002B7426" w:rsidRDefault="002B7426" w:rsidP="002B7426">
      <w:pPr>
        <w:pStyle w:val="a7"/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 xml:space="preserve">3) проверка правильности отчетов о выполнении годовых целей по сбору и переработке отходов в соответствии с требованиями Положения и предоставление подтверждающих документов, на основании которых осуществлялись операции по управлению отходами, с указанием количества собранных и обработанных отходов;     </w:t>
      </w:r>
    </w:p>
    <w:p w14:paraId="6D3BA60A" w14:textId="77777777" w:rsidR="002B7426" w:rsidRPr="002B7426" w:rsidRDefault="002B7426" w:rsidP="002B7426">
      <w:pPr>
        <w:ind w:firstLine="720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4) проверка состояния развития инфраструктуры по сбору отходов с акцентом на:</w:t>
      </w:r>
    </w:p>
    <w:p w14:paraId="245DAC6B" w14:textId="77777777" w:rsidR="002B7426" w:rsidRPr="002B7426" w:rsidRDefault="002B7426" w:rsidP="002B7426">
      <w:pPr>
        <w:pStyle w:val="a7"/>
        <w:tabs>
          <w:tab w:val="left" w:pos="1440"/>
        </w:tabs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 xml:space="preserve">a) развитие собственной инфраструктуры по сбору (пункты сбора, оборудованные контейнерами, через производителей/дистрибьюторов и </w:t>
      </w:r>
      <w:proofErr w:type="gramStart"/>
      <w:r w:rsidRPr="002B7426">
        <w:rPr>
          <w:rFonts w:cs="Times New Roman"/>
          <w:color w:val="000000" w:themeColor="text1"/>
          <w:szCs w:val="24"/>
        </w:rPr>
        <w:t>т.д.</w:t>
      </w:r>
      <w:proofErr w:type="gramEnd"/>
      <w:r w:rsidRPr="002B7426">
        <w:rPr>
          <w:rFonts w:cs="Times New Roman"/>
          <w:color w:val="000000" w:themeColor="text1"/>
          <w:szCs w:val="24"/>
        </w:rPr>
        <w:t xml:space="preserve">); </w:t>
      </w:r>
    </w:p>
    <w:p w14:paraId="38AC562B" w14:textId="77777777" w:rsidR="002B7426" w:rsidRPr="002B7426" w:rsidRDefault="002B7426" w:rsidP="002B7426">
      <w:pPr>
        <w:pStyle w:val="a7"/>
        <w:tabs>
          <w:tab w:val="left" w:pos="993"/>
        </w:tabs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>b) функционирование систем управления соответствующими потоками отходов на всей территории страны, не ограничиваясь теми районами, где сбор и управление отходами наиболее прибыльны;</w:t>
      </w:r>
    </w:p>
    <w:p w14:paraId="46728C88" w14:textId="77777777" w:rsidR="002B7426" w:rsidRPr="002B7426" w:rsidRDefault="002B7426" w:rsidP="002B7426">
      <w:pPr>
        <w:pStyle w:val="a7"/>
        <w:tabs>
          <w:tab w:val="left" w:pos="1440"/>
        </w:tabs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 xml:space="preserve">c) заключение договоров с органами местного публичного управления, в соответствующих случаях;  </w:t>
      </w:r>
    </w:p>
    <w:p w14:paraId="3386203D" w14:textId="77777777" w:rsidR="002B7426" w:rsidRPr="002B7426" w:rsidRDefault="002B7426" w:rsidP="002B7426">
      <w:pPr>
        <w:pStyle w:val="a7"/>
        <w:tabs>
          <w:tab w:val="left" w:pos="1134"/>
          <w:tab w:val="left" w:pos="1276"/>
        </w:tabs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>d) финансирование расходов, указанных в части (2</w:t>
      </w:r>
      <w:r w:rsidRPr="002B7426">
        <w:rPr>
          <w:rFonts w:cs="Times New Roman"/>
          <w:color w:val="000000" w:themeColor="text1"/>
          <w:szCs w:val="24"/>
          <w:vertAlign w:val="superscript"/>
        </w:rPr>
        <w:t>1</w:t>
      </w:r>
      <w:r w:rsidRPr="002B7426">
        <w:rPr>
          <w:rFonts w:cs="Times New Roman"/>
          <w:color w:val="000000" w:themeColor="text1"/>
          <w:szCs w:val="24"/>
        </w:rPr>
        <w:t xml:space="preserve">) статьи 12 Закона № 209/2016 об отходах, а также развитие инфраструктуры по сбору отходов продукции, регулируемых через расширенную ответственность производителя, образующихся в потоке муниципальных отходов;   </w:t>
      </w:r>
    </w:p>
    <w:p w14:paraId="3B8F8E0A" w14:textId="77777777" w:rsidR="002B7426" w:rsidRPr="002B7426" w:rsidRDefault="002B7426" w:rsidP="002B7426">
      <w:pPr>
        <w:pStyle w:val="a7"/>
        <w:tabs>
          <w:tab w:val="left" w:pos="993"/>
        </w:tabs>
        <w:spacing w:after="0" w:line="240" w:lineRule="auto"/>
        <w:ind w:left="0" w:firstLine="720"/>
        <w:rPr>
          <w:rFonts w:cs="Times New Roman"/>
          <w:color w:val="000000" w:themeColor="text1"/>
          <w:szCs w:val="24"/>
        </w:rPr>
      </w:pPr>
      <w:r w:rsidRPr="002B7426">
        <w:rPr>
          <w:rFonts w:cs="Times New Roman"/>
          <w:color w:val="000000" w:themeColor="text1"/>
          <w:szCs w:val="24"/>
        </w:rPr>
        <w:t xml:space="preserve">e) заключение договоров с авторизованными переработчиками и рециркуляторами, обладающими возможностями перерабатывать отходы или их материалы и компоненты; </w:t>
      </w:r>
    </w:p>
    <w:p w14:paraId="0D48F339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5) проверка соответствия отчетности в отношении производителей ОБА, сборщиков ОБА или переработчиков ОБА;   </w:t>
      </w:r>
    </w:p>
    <w:p w14:paraId="42A7802A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6) проверка финансовых аспектов, а именно:</w:t>
      </w:r>
    </w:p>
    <w:p w14:paraId="2EEC966A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a) размещение на официальном веб-сайте информации о размере тарифов за принятие на себя ответственности по управлению отходами;  </w:t>
      </w:r>
    </w:p>
    <w:p w14:paraId="45531B1A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b) представление и описание операционных расходов на управление ОБA; </w:t>
      </w:r>
    </w:p>
    <w:p w14:paraId="20438FEF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c) финансовые взносы, покрывающие все расходы, указанные в части (2</w:t>
      </w:r>
      <w:r w:rsidRPr="002B7426">
        <w:rPr>
          <w:color w:val="000000" w:themeColor="text1"/>
          <w:sz w:val="24"/>
          <w:szCs w:val="24"/>
          <w:vertAlign w:val="superscript"/>
        </w:rPr>
        <w:t>1</w:t>
      </w:r>
      <w:r w:rsidRPr="002B7426">
        <w:rPr>
          <w:color w:val="000000" w:themeColor="text1"/>
          <w:sz w:val="24"/>
          <w:szCs w:val="24"/>
        </w:rPr>
        <w:t>) статьи 12 Закона № 209/2016 об отходах;</w:t>
      </w:r>
    </w:p>
    <w:p w14:paraId="5AF59558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7) проверка прослеживаемости отходов БА – от пункта сбора/коллектора до установки по обработке/переработке;     </w:t>
      </w:r>
    </w:p>
    <w:p w14:paraId="1A6F42CA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8) результаты проверок, проведенных Инспекцией по охране окружающей среды, в соответствующих случаях;   </w:t>
      </w:r>
    </w:p>
    <w:p w14:paraId="3961EF7D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9) соблюдение предписаний, содержащихся в природоохранном разрешении по обращению с отходами, в соответствующих случаях;   </w:t>
      </w:r>
    </w:p>
    <w:p w14:paraId="7D2D5969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lastRenderedPageBreak/>
        <w:t xml:space="preserve">10) подтверждение формирования финансовой гарантии/резервного фонда в форме, применяемой к каждой категории индивидуальных производителей/ уполномоченных представителей/ коллективных организаций; </w:t>
      </w:r>
    </w:p>
    <w:p w14:paraId="4FCC0A87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11) выполнение годовых целевых показателей по сбору, обработке и переработке, в соответствии с требованиями Положения; </w:t>
      </w:r>
    </w:p>
    <w:p w14:paraId="61BCC0C5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12) обеспечение прозрачности по отношению ко всем производителям, за которых коллективная система приняла ответственность;     </w:t>
      </w:r>
    </w:p>
    <w:p w14:paraId="213C3CB4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13) соблюдение одинаковых тарифов за принятие ответственности за управление ОБА по отношению ко всем производителям, за которых они приняли ответственность, в соответствующих случаях;    </w:t>
      </w:r>
    </w:p>
    <w:p w14:paraId="1EF197E4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14) реинвестирование прибыли в те же виды деятельности, которые осуществлялись с целью выполнения обязательств, в отношении которых коллективная система приняла ответственность;      </w:t>
      </w:r>
    </w:p>
    <w:p w14:paraId="355CB8C8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15) описание действий по информированию общественности: </w:t>
      </w:r>
    </w:p>
    <w:p w14:paraId="412997EA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a) проведение информационных кампаний для потребителей и пользователей;</w:t>
      </w:r>
    </w:p>
    <w:p w14:paraId="73B5BBE1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b) предоставление прозрачной публичной информации о достижении целей по сбору и обработке отходов;  </w:t>
      </w:r>
    </w:p>
    <w:p w14:paraId="1DF598B5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c) в случае коллективного выполнения обязательств, связанных с расширенной ответственностью производителя, предоставление информации об: </w:t>
      </w:r>
    </w:p>
    <w:p w14:paraId="71F015DE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- учредителях и членах коллективной системы;</w:t>
      </w:r>
    </w:p>
    <w:p w14:paraId="2283D5BE" w14:textId="77777777" w:rsidR="002B7426" w:rsidRPr="002B7426" w:rsidRDefault="002B7426" w:rsidP="002B7426">
      <w:pPr>
        <w:ind w:firstLine="720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- финансовых взносах, выплачиваемых производителями продукции за каждую проданную единицу или за каждую тонну продукции, размещенной на рынке;  </w:t>
      </w:r>
    </w:p>
    <w:p w14:paraId="36ABA9AC" w14:textId="77777777" w:rsidR="002B7426" w:rsidRPr="002B7426" w:rsidRDefault="002B7426" w:rsidP="002B7426">
      <w:pPr>
        <w:ind w:left="720" w:firstLine="0"/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- процедуре отбора операторов по управлению отходами;</w:t>
      </w:r>
    </w:p>
    <w:p w14:paraId="7299088B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 xml:space="preserve">16) выявление существующих рисков для индивидуальной/ коллективной системы и порядок их устранения;    </w:t>
      </w:r>
    </w:p>
    <w:p w14:paraId="73E9AD43" w14:textId="77777777" w:rsidR="002B7426" w:rsidRPr="002B7426" w:rsidRDefault="002B7426" w:rsidP="002B7426">
      <w:pPr>
        <w:rPr>
          <w:color w:val="000000" w:themeColor="text1"/>
          <w:sz w:val="24"/>
          <w:szCs w:val="24"/>
        </w:rPr>
      </w:pPr>
      <w:r w:rsidRPr="002B7426">
        <w:rPr>
          <w:color w:val="000000" w:themeColor="text1"/>
          <w:sz w:val="24"/>
          <w:szCs w:val="24"/>
        </w:rPr>
        <w:t>17) внутренние и внешние элементы, препятствующие индивидуальной/ коллективной системе в достижении целей по сбору и переработке ОБА.»;</w:t>
      </w:r>
    </w:p>
    <w:p w14:paraId="2F3D4AF1" w14:textId="77777777" w:rsidR="00B32DE8" w:rsidRPr="002B7426" w:rsidRDefault="00B32DE8">
      <w:pPr>
        <w:rPr>
          <w:sz w:val="24"/>
          <w:szCs w:val="24"/>
        </w:rPr>
      </w:pPr>
    </w:p>
    <w:sectPr w:rsidR="00B32DE8" w:rsidRPr="002B7426" w:rsidSect="00812258">
      <w:pgSz w:w="11907" w:h="16840" w:code="9"/>
      <w:pgMar w:top="851" w:right="964" w:bottom="1134" w:left="1814" w:header="278" w:footer="851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26"/>
    <w:rsid w:val="002B7426"/>
    <w:rsid w:val="0058181B"/>
    <w:rsid w:val="005C0197"/>
    <w:rsid w:val="006D1F82"/>
    <w:rsid w:val="00812258"/>
    <w:rsid w:val="009F3CD3"/>
    <w:rsid w:val="00B32DE8"/>
    <w:rsid w:val="00D40252"/>
    <w:rsid w:val="00DC3938"/>
    <w:rsid w:val="00F6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71272"/>
  <w15:chartTrackingRefBased/>
  <w15:docId w15:val="{56BB087F-BFB8-48BE-AAEF-DC10ABFD5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42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B7426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426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7426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7426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7426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4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7426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7426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7426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7426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742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742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7426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7426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B7426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B7426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2B7426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B7426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B7426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2B7426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B74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7426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B74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7426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B7426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aliases w:val="List Paragraph 1,List Paragraph11,Абзац списка2,Scriptoria bullet points"/>
    <w:basedOn w:val="a"/>
    <w:link w:val="a8"/>
    <w:uiPriority w:val="34"/>
    <w:qFormat/>
    <w:rsid w:val="002B7426"/>
    <w:pPr>
      <w:spacing w:after="200" w:line="276" w:lineRule="auto"/>
      <w:ind w:left="720" w:firstLine="0"/>
      <w:contextualSpacing/>
    </w:pPr>
    <w:rPr>
      <w:rFonts w:eastAsiaTheme="minorHAnsi" w:cstheme="minorBidi"/>
      <w:kern w:val="2"/>
      <w:sz w:val="24"/>
      <w:szCs w:val="22"/>
      <w14:ligatures w14:val="standardContextual"/>
    </w:rPr>
  </w:style>
  <w:style w:type="character" w:styleId="a9">
    <w:name w:val="Intense Emphasis"/>
    <w:basedOn w:val="a0"/>
    <w:uiPriority w:val="21"/>
    <w:qFormat/>
    <w:rsid w:val="002B7426"/>
    <w:rPr>
      <w:i/>
      <w:iCs/>
      <w:color w:val="365F9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B742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kern w:val="2"/>
      <w:sz w:val="24"/>
      <w:szCs w:val="2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2B7426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c">
    <w:name w:val="Intense Reference"/>
    <w:basedOn w:val="a0"/>
    <w:uiPriority w:val="32"/>
    <w:qFormat/>
    <w:rsid w:val="002B7426"/>
    <w:rPr>
      <w:b/>
      <w:bCs/>
      <w:smallCaps/>
      <w:color w:val="365F91" w:themeColor="accent1" w:themeShade="BF"/>
      <w:spacing w:val="5"/>
    </w:rPr>
  </w:style>
  <w:style w:type="character" w:customStyle="1" w:styleId="a8">
    <w:name w:val="Абзац списка Знак"/>
    <w:aliases w:val="List Paragraph 1 Знак,List Paragraph11 Знак,Абзац списка2 Знак,Scriptoria bullet points Знак"/>
    <w:basedOn w:val="a0"/>
    <w:link w:val="a7"/>
    <w:uiPriority w:val="34"/>
    <w:locked/>
    <w:rsid w:val="002B742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2025-11-07T09:37:00Z</dcterms:created>
  <dcterms:modified xsi:type="dcterms:W3CDTF">2025-11-07T09:37:00Z</dcterms:modified>
</cp:coreProperties>
</file>